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04862" w:rsidTr="00804862">
        <w:tblPrEx>
          <w:tblCellMar>
            <w:top w:w="0" w:type="dxa"/>
            <w:bottom w:w="0" w:type="dxa"/>
          </w:tblCellMar>
        </w:tblPrEx>
        <w:trPr>
          <w:trHeight w:val="13860"/>
        </w:trPr>
        <w:tc>
          <w:tcPr>
            <w:tcW w:w="9468" w:type="dxa"/>
          </w:tcPr>
          <w:p w:rsidR="00804862" w:rsidRP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36"/>
                <w:szCs w:val="36"/>
              </w:rPr>
            </w:pPr>
            <w:r w:rsidRPr="00804862">
              <w:rPr>
                <w:rFonts w:ascii="Georgia" w:hAnsi="Georgia" w:cs="Georgia"/>
                <w:b/>
                <w:bCs/>
                <w:sz w:val="36"/>
                <w:szCs w:val="36"/>
              </w:rPr>
              <w:t>Be Prepared for Your Loan Application - What to Bring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181700"/>
                <w:sz w:val="28"/>
                <w:szCs w:val="28"/>
              </w:rPr>
              <w:drawing>
                <wp:inline distT="0" distB="0" distL="0" distR="0" wp14:anchorId="187071A8" wp14:editId="2CC4FD18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Employment</w:t>
            </w:r>
          </w:p>
          <w:p w:rsidR="00804862" w:rsidRDefault="0080486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Addresses for two full years</w:t>
            </w:r>
          </w:p>
          <w:p w:rsidR="00804862" w:rsidRDefault="0080486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Gross monthly income</w:t>
            </w:r>
          </w:p>
          <w:p w:rsidR="00804862" w:rsidRDefault="0080486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W-2s, if available</w:t>
            </w:r>
          </w:p>
          <w:p w:rsidR="00804862" w:rsidRDefault="0080486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Proof of pensions, retirement, disability or Social Security, proof of income from rentals, investments, etc. Proof of child support or alimony paid/received year to date, pay stubs.</w:t>
            </w:r>
          </w:p>
          <w:p w:rsidR="00804862" w:rsidRDefault="00804862" w:rsidP="008048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If self-employed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Two years 1040 Tax Returns and all Schedules</w:t>
            </w:r>
          </w:p>
          <w:p w:rsidR="00804862" w:rsidRDefault="0080486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Current year profit and loss statement</w:t>
            </w:r>
          </w:p>
          <w:p w:rsidR="00804862" w:rsidRDefault="00804862" w:rsidP="008048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Creditors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Each creditor's name, address and type of account, account numbers, monthly payments and approximate balances, and amount of child care expenses.</w:t>
            </w:r>
          </w:p>
          <w:p w:rsidR="00804862" w:rsidRDefault="00804862" w:rsidP="008048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Banking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Names and addresses of saving institutions, account numbers for all accounts, type of accounts and present balances.</w:t>
            </w:r>
          </w:p>
          <w:p w:rsidR="00804862" w:rsidRDefault="00804862" w:rsidP="008048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Miscellaneous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List of assets in stocks, bonds, land</w:t>
            </w:r>
          </w:p>
          <w:p w:rsidR="00804862" w:rsidRDefault="00804862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Life insurance cash value (documented if for down payment). If applicant is selling a home, a copy of the sales contracts and Social Security numbers for all parties should be provided.</w:t>
            </w:r>
          </w:p>
          <w:p w:rsidR="00804862" w:rsidRDefault="00804862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Veterans - Certificate of Eligibility and DD-214</w:t>
            </w:r>
          </w:p>
          <w:p w:rsidR="00804862" w:rsidRDefault="00804862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Cash or check to pay for application fee</w:t>
            </w:r>
          </w:p>
          <w:p w:rsidR="00804862" w:rsidRDefault="00804862" w:rsidP="008048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Your Realtor should provide</w:t>
            </w:r>
          </w:p>
          <w:p w:rsidR="00804862" w:rsidRDefault="008048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bookmarkStart w:id="0" w:name="_GoBack"/>
            <w:bookmarkEnd w:id="0"/>
          </w:p>
          <w:p w:rsidR="00804862" w:rsidRDefault="00804862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Copy of sales contract</w:t>
            </w:r>
          </w:p>
          <w:p w:rsidR="00804862" w:rsidRDefault="00804862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Copy of MLS listing sheet on property</w:t>
            </w:r>
          </w:p>
          <w:p w:rsidR="00804862" w:rsidRDefault="00804862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Instructions on how appraiser is to gain entrance</w:t>
            </w:r>
          </w:p>
        </w:tc>
      </w:tr>
    </w:tbl>
    <w:p w:rsidR="000B200D" w:rsidRDefault="000B200D"/>
    <w:sectPr w:rsidR="000B200D" w:rsidSect="00804862">
      <w:pgSz w:w="12240" w:h="15840"/>
      <w:pgMar w:top="81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62"/>
    <w:rsid w:val="000B200D"/>
    <w:rsid w:val="00775774"/>
    <w:rsid w:val="008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4A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Company>CITADEL REALTY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Weseman</dc:creator>
  <cp:keywords/>
  <dc:description/>
  <cp:lastModifiedBy>Melanie Weseman</cp:lastModifiedBy>
  <cp:revision>1</cp:revision>
  <dcterms:created xsi:type="dcterms:W3CDTF">2018-08-22T20:44:00Z</dcterms:created>
  <dcterms:modified xsi:type="dcterms:W3CDTF">2018-08-22T21:12:00Z</dcterms:modified>
</cp:coreProperties>
</file>